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FD4" w:rsidRDefault="000E1FD4">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5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6662"/>
        <w:gridCol w:w="3964"/>
      </w:tblGrid>
      <w:tr w:rsidR="000E1FD4">
        <w:tc>
          <w:tcPr>
            <w:tcW w:w="4815" w:type="dxa"/>
            <w:shd w:val="clear" w:color="auto" w:fill="FFFF00"/>
          </w:tcPr>
          <w:p w:rsidR="000E1FD4" w:rsidRDefault="00012F7B">
            <w:pPr>
              <w:rPr>
                <w:rFonts w:ascii="Comic Sans MS" w:eastAsia="Comic Sans MS" w:hAnsi="Comic Sans MS" w:cs="Comic Sans MS"/>
                <w:sz w:val="48"/>
                <w:szCs w:val="48"/>
              </w:rPr>
            </w:pPr>
            <w:r>
              <w:rPr>
                <w:rFonts w:ascii="Comic Sans MS" w:eastAsia="Comic Sans MS" w:hAnsi="Comic Sans MS" w:cs="Comic Sans MS"/>
                <w:b/>
                <w:color w:val="404040"/>
                <w:sz w:val="48"/>
                <w:szCs w:val="48"/>
              </w:rPr>
              <w:t>Writing</w:t>
            </w:r>
            <w:r>
              <w:rPr>
                <w:rFonts w:ascii="Comic Sans MS" w:eastAsia="Comic Sans MS" w:hAnsi="Comic Sans MS" w:cs="Comic Sans MS"/>
                <w:b/>
                <w:color w:val="FFC000"/>
                <w:sz w:val="48"/>
                <w:szCs w:val="48"/>
              </w:rPr>
              <w:t xml:space="preserve"> </w:t>
            </w:r>
            <w:r>
              <w:rPr>
                <w:rFonts w:ascii="Comic Sans MS" w:eastAsia="Comic Sans MS" w:hAnsi="Comic Sans MS" w:cs="Comic Sans MS"/>
                <w:sz w:val="48"/>
                <w:szCs w:val="48"/>
              </w:rPr>
              <w:t>at Collingwood Primary School</w:t>
            </w:r>
          </w:p>
          <w:p w:rsidR="000E1FD4" w:rsidRDefault="00012F7B">
            <w:pPr>
              <w:rPr>
                <w:sz w:val="27"/>
                <w:szCs w:val="27"/>
              </w:rPr>
            </w:pPr>
            <w:r>
              <w:rPr>
                <w:rFonts w:ascii="Comic Sans MS" w:eastAsia="Comic Sans MS" w:hAnsi="Comic Sans MS" w:cs="Comic Sans MS"/>
                <w:sz w:val="27"/>
                <w:szCs w:val="27"/>
              </w:rPr>
              <w:t xml:space="preserve">Our </w:t>
            </w:r>
            <w:r>
              <w:rPr>
                <w:rFonts w:ascii="Comic Sans MS" w:eastAsia="Comic Sans MS" w:hAnsi="Comic Sans MS" w:cs="Comic Sans MS"/>
                <w:b/>
                <w:sz w:val="27"/>
                <w:szCs w:val="27"/>
              </w:rPr>
              <w:t>Writing</w:t>
            </w:r>
            <w:r>
              <w:rPr>
                <w:rFonts w:ascii="Comic Sans MS" w:eastAsia="Comic Sans MS" w:hAnsi="Comic Sans MS" w:cs="Comic Sans MS"/>
                <w:sz w:val="27"/>
                <w:szCs w:val="27"/>
              </w:rPr>
              <w:t xml:space="preserve"> provision aims to foster a passion for writing which recognises its value in communicating with, and entertaining and engaging others. We strive to broaden our pupils’ vocabulary providing them with the skills and techniques required to become fluent and </w:t>
            </w:r>
            <w:r>
              <w:rPr>
                <w:rFonts w:ascii="Comic Sans MS" w:eastAsia="Comic Sans MS" w:hAnsi="Comic Sans MS" w:cs="Comic Sans MS"/>
                <w:sz w:val="27"/>
                <w:szCs w:val="27"/>
              </w:rPr>
              <w:t xml:space="preserve">confident writers. </w:t>
            </w:r>
            <w:r>
              <w:rPr>
                <w:noProof/>
              </w:rPr>
              <w:drawing>
                <wp:anchor distT="0" distB="0" distL="114300" distR="114300" simplePos="0" relativeHeight="251658240" behindDoc="0" locked="0" layoutInCell="1" hidden="0" allowOverlap="1">
                  <wp:simplePos x="0" y="0"/>
                  <wp:positionH relativeFrom="column">
                    <wp:posOffset>1976888</wp:posOffset>
                  </wp:positionH>
                  <wp:positionV relativeFrom="paragraph">
                    <wp:posOffset>1777409</wp:posOffset>
                  </wp:positionV>
                  <wp:extent cx="859809" cy="777875"/>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59809" cy="777875"/>
                          </a:xfrm>
                          <a:prstGeom prst="rect">
                            <a:avLst/>
                          </a:prstGeom>
                          <a:ln/>
                        </pic:spPr>
                      </pic:pic>
                    </a:graphicData>
                  </a:graphic>
                </wp:anchor>
              </w:drawing>
            </w:r>
          </w:p>
        </w:tc>
        <w:tc>
          <w:tcPr>
            <w:tcW w:w="6662" w:type="dxa"/>
            <w:vMerge w:val="restart"/>
          </w:tcPr>
          <w:p w:rsidR="000E1FD4" w:rsidRDefault="00012F7B">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Content and Sequencing</w:t>
            </w:r>
          </w:p>
          <w:p w:rsidR="000E1FD4" w:rsidRDefault="00012F7B">
            <w:pPr>
              <w:jc w:val="center"/>
              <w:rPr>
                <w:rFonts w:ascii="Comic Sans MS" w:eastAsia="Comic Sans MS" w:hAnsi="Comic Sans MS" w:cs="Comic Sans MS"/>
                <w:sz w:val="24"/>
                <w:szCs w:val="24"/>
              </w:rPr>
            </w:pPr>
            <w:r>
              <w:rPr>
                <w:rFonts w:ascii="Comic Sans MS" w:eastAsia="Comic Sans MS" w:hAnsi="Comic Sans MS" w:cs="Comic Sans MS"/>
                <w:b/>
                <w:color w:val="808080"/>
                <w:sz w:val="24"/>
                <w:szCs w:val="24"/>
                <w:highlight w:val="yellow"/>
              </w:rPr>
              <w:t>EYFS</w:t>
            </w:r>
            <w:r>
              <w:rPr>
                <w:rFonts w:ascii="Comic Sans MS" w:eastAsia="Comic Sans MS" w:hAnsi="Comic Sans MS" w:cs="Comic Sans MS"/>
                <w:b/>
                <w:color w:val="808080"/>
                <w:sz w:val="24"/>
                <w:szCs w:val="24"/>
              </w:rPr>
              <w:t xml:space="preserve"> – </w:t>
            </w:r>
            <w:r>
              <w:rPr>
                <w:rFonts w:ascii="Comic Sans MS" w:eastAsia="Comic Sans MS" w:hAnsi="Comic Sans MS" w:cs="Comic Sans MS"/>
                <w:sz w:val="24"/>
                <w:szCs w:val="24"/>
              </w:rPr>
              <w:t xml:space="preserve">In EYFS children develop early writing skills, providing them with strong foundations and the knowledge they need to enable them to be successful writers. </w:t>
            </w:r>
          </w:p>
          <w:p w:rsidR="000E1FD4" w:rsidRDefault="000E1FD4">
            <w:pPr>
              <w:jc w:val="center"/>
              <w:rPr>
                <w:rFonts w:ascii="Comic Sans MS" w:eastAsia="Comic Sans MS" w:hAnsi="Comic Sans MS" w:cs="Comic Sans MS"/>
                <w:b/>
                <w:color w:val="808080"/>
                <w:sz w:val="24"/>
                <w:szCs w:val="24"/>
              </w:rPr>
            </w:pPr>
          </w:p>
          <w:p w:rsidR="000E1FD4" w:rsidRDefault="00012F7B">
            <w:pPr>
              <w:jc w:val="center"/>
              <w:rPr>
                <w:rFonts w:ascii="Comic Sans MS" w:eastAsia="Comic Sans MS" w:hAnsi="Comic Sans MS" w:cs="Comic Sans MS"/>
                <w:sz w:val="24"/>
                <w:szCs w:val="24"/>
              </w:rPr>
            </w:pPr>
            <w:r>
              <w:rPr>
                <w:rFonts w:ascii="Comic Sans MS" w:eastAsia="Comic Sans MS" w:hAnsi="Comic Sans MS" w:cs="Comic Sans MS"/>
                <w:b/>
                <w:color w:val="808080"/>
                <w:sz w:val="24"/>
                <w:szCs w:val="24"/>
                <w:highlight w:val="yellow"/>
              </w:rPr>
              <w:t>KS1 &amp; 2</w:t>
            </w:r>
            <w:r>
              <w:rPr>
                <w:rFonts w:ascii="Comic Sans MS" w:eastAsia="Comic Sans MS" w:hAnsi="Comic Sans MS" w:cs="Comic Sans MS"/>
                <w:b/>
                <w:color w:val="808080"/>
                <w:sz w:val="24"/>
                <w:szCs w:val="24"/>
              </w:rPr>
              <w:t xml:space="preserve"> – </w:t>
            </w:r>
            <w:r>
              <w:rPr>
                <w:rFonts w:ascii="Comic Sans MS" w:eastAsia="Comic Sans MS" w:hAnsi="Comic Sans MS" w:cs="Comic Sans MS"/>
                <w:sz w:val="24"/>
                <w:szCs w:val="24"/>
              </w:rPr>
              <w:t xml:space="preserve">We follow the National Curriculum programmes of study to plan, sequence and teach our lessons:  </w:t>
            </w:r>
            <w:hyperlink r:id="rId7">
              <w:r>
                <w:rPr>
                  <w:rFonts w:ascii="Comic Sans MS" w:eastAsia="Comic Sans MS" w:hAnsi="Comic Sans MS" w:cs="Comic Sans MS"/>
                  <w:color w:val="0563C1"/>
                  <w:sz w:val="24"/>
                  <w:szCs w:val="24"/>
                  <w:u w:val="single"/>
                </w:rPr>
                <w:t>progression of skills</w:t>
              </w:r>
            </w:hyperlink>
          </w:p>
          <w:p w:rsidR="000E1FD4" w:rsidRDefault="000E1FD4">
            <w:pPr>
              <w:jc w:val="center"/>
              <w:rPr>
                <w:rFonts w:ascii="Comic Sans MS" w:eastAsia="Comic Sans MS" w:hAnsi="Comic Sans MS" w:cs="Comic Sans MS"/>
                <w:sz w:val="24"/>
                <w:szCs w:val="24"/>
              </w:rPr>
            </w:pPr>
          </w:p>
          <w:p w:rsidR="000E1FD4" w:rsidRDefault="00012F7B">
            <w:pPr>
              <w:jc w:val="center"/>
              <w:rPr>
                <w:rFonts w:ascii="Comic Sans MS" w:eastAsia="Comic Sans MS" w:hAnsi="Comic Sans MS" w:cs="Comic Sans MS"/>
                <w:sz w:val="24"/>
                <w:szCs w:val="24"/>
              </w:rPr>
            </w:pPr>
            <w:r>
              <w:rPr>
                <w:rFonts w:ascii="Comic Sans MS" w:eastAsia="Comic Sans MS" w:hAnsi="Comic Sans MS" w:cs="Comic Sans MS"/>
                <w:b/>
                <w:color w:val="808080"/>
                <w:sz w:val="24"/>
                <w:szCs w:val="24"/>
                <w:highlight w:val="yellow"/>
              </w:rPr>
              <w:t>Spellings</w:t>
            </w:r>
            <w:r>
              <w:rPr>
                <w:rFonts w:ascii="Comic Sans MS" w:eastAsia="Comic Sans MS" w:hAnsi="Comic Sans MS" w:cs="Comic Sans MS"/>
                <w:b/>
                <w:color w:val="808080"/>
                <w:sz w:val="24"/>
                <w:szCs w:val="24"/>
              </w:rPr>
              <w:t xml:space="preserve"> – </w:t>
            </w:r>
            <w:r>
              <w:rPr>
                <w:rFonts w:ascii="Comic Sans MS" w:eastAsia="Comic Sans MS" w:hAnsi="Comic Sans MS" w:cs="Comic Sans MS"/>
                <w:sz w:val="24"/>
                <w:szCs w:val="24"/>
              </w:rPr>
              <w:t>We follow the National Curriculum programme of study to plan and sequence the teaching of spel</w:t>
            </w:r>
            <w:r>
              <w:rPr>
                <w:rFonts w:ascii="Comic Sans MS" w:eastAsia="Comic Sans MS" w:hAnsi="Comic Sans MS" w:cs="Comic Sans MS"/>
                <w:sz w:val="24"/>
                <w:szCs w:val="24"/>
              </w:rPr>
              <w:t xml:space="preserve">ling:  </w:t>
            </w:r>
            <w:hyperlink r:id="rId8">
              <w:r>
                <w:rPr>
                  <w:rFonts w:ascii="Comic Sans MS" w:eastAsia="Comic Sans MS" w:hAnsi="Comic Sans MS" w:cs="Comic Sans MS"/>
                  <w:color w:val="0563C1"/>
                  <w:sz w:val="24"/>
                  <w:szCs w:val="24"/>
                  <w:u w:val="single"/>
                </w:rPr>
                <w:t>English Appendix 1 - spelling</w:t>
              </w:r>
            </w:hyperlink>
          </w:p>
          <w:p w:rsidR="000E1FD4" w:rsidRDefault="000E1FD4">
            <w:pPr>
              <w:jc w:val="center"/>
              <w:rPr>
                <w:rFonts w:ascii="Comic Sans MS" w:eastAsia="Comic Sans MS" w:hAnsi="Comic Sans MS" w:cs="Comic Sans MS"/>
                <w:b/>
                <w:color w:val="808080"/>
                <w:sz w:val="24"/>
                <w:szCs w:val="24"/>
              </w:rPr>
            </w:pPr>
          </w:p>
          <w:p w:rsidR="000E1FD4" w:rsidRDefault="00012F7B">
            <w:pPr>
              <w:jc w:val="center"/>
              <w:rPr>
                <w:rFonts w:ascii="Comic Sans MS" w:eastAsia="Comic Sans MS" w:hAnsi="Comic Sans MS" w:cs="Comic Sans MS"/>
                <w:sz w:val="24"/>
                <w:szCs w:val="24"/>
              </w:rPr>
            </w:pPr>
            <w:r>
              <w:rPr>
                <w:rFonts w:ascii="Comic Sans MS" w:eastAsia="Comic Sans MS" w:hAnsi="Comic Sans MS" w:cs="Comic Sans MS"/>
                <w:b/>
                <w:color w:val="808080"/>
                <w:sz w:val="24"/>
                <w:szCs w:val="24"/>
                <w:highlight w:val="yellow"/>
              </w:rPr>
              <w:t>Handwriting</w:t>
            </w:r>
            <w:r>
              <w:rPr>
                <w:rFonts w:ascii="Comic Sans MS" w:eastAsia="Comic Sans MS" w:hAnsi="Comic Sans MS" w:cs="Comic Sans MS"/>
                <w:b/>
                <w:color w:val="808080"/>
                <w:sz w:val="24"/>
                <w:szCs w:val="24"/>
              </w:rPr>
              <w:t xml:space="preserve"> – </w:t>
            </w:r>
            <w:r>
              <w:rPr>
                <w:rFonts w:ascii="Comic Sans MS" w:eastAsia="Comic Sans MS" w:hAnsi="Comic Sans MS" w:cs="Comic Sans MS"/>
                <w:sz w:val="24"/>
                <w:szCs w:val="24"/>
              </w:rPr>
              <w:t xml:space="preserve">We follow the </w:t>
            </w:r>
            <w:r>
              <w:rPr>
                <w:rFonts w:ascii="Comic Sans MS" w:eastAsia="Comic Sans MS" w:hAnsi="Comic Sans MS" w:cs="Comic Sans MS"/>
                <w:i/>
                <w:sz w:val="24"/>
                <w:szCs w:val="24"/>
              </w:rPr>
              <w:t>Nelson Handwriting Scheme</w:t>
            </w:r>
            <w:r>
              <w:rPr>
                <w:rFonts w:ascii="Comic Sans MS" w:eastAsia="Comic Sans MS" w:hAnsi="Comic Sans MS" w:cs="Comic Sans MS"/>
                <w:sz w:val="24"/>
                <w:szCs w:val="24"/>
              </w:rPr>
              <w:t>.</w:t>
            </w:r>
          </w:p>
          <w:p w:rsidR="000E1FD4" w:rsidRDefault="000E1FD4">
            <w:pPr>
              <w:jc w:val="center"/>
              <w:rPr>
                <w:rFonts w:ascii="Comic Sans MS" w:eastAsia="Comic Sans MS" w:hAnsi="Comic Sans MS" w:cs="Comic Sans MS"/>
                <w:sz w:val="24"/>
                <w:szCs w:val="24"/>
              </w:rPr>
            </w:pPr>
          </w:p>
          <w:p w:rsidR="000E1FD4" w:rsidRDefault="00012F7B">
            <w:pPr>
              <w:jc w:val="center"/>
              <w:rPr>
                <w:rFonts w:ascii="Comic Sans MS" w:eastAsia="Comic Sans MS" w:hAnsi="Comic Sans MS" w:cs="Comic Sans MS"/>
                <w:sz w:val="24"/>
                <w:szCs w:val="24"/>
              </w:rPr>
            </w:pPr>
            <w:r>
              <w:rPr>
                <w:rFonts w:ascii="Comic Sans MS" w:eastAsia="Comic Sans MS" w:hAnsi="Comic Sans MS" w:cs="Comic Sans MS"/>
                <w:b/>
                <w:color w:val="808080"/>
                <w:sz w:val="24"/>
                <w:szCs w:val="24"/>
                <w:highlight w:val="yellow"/>
              </w:rPr>
              <w:t>Compos</w:t>
            </w:r>
            <w:r>
              <w:rPr>
                <w:rFonts w:ascii="Comic Sans MS" w:eastAsia="Comic Sans MS" w:hAnsi="Comic Sans MS" w:cs="Comic Sans MS"/>
                <w:b/>
                <w:color w:val="808080"/>
                <w:sz w:val="24"/>
                <w:szCs w:val="24"/>
                <w:highlight w:val="yellow"/>
              </w:rPr>
              <w:t>ition</w:t>
            </w:r>
            <w:r>
              <w:rPr>
                <w:rFonts w:ascii="Comic Sans MS" w:eastAsia="Comic Sans MS" w:hAnsi="Comic Sans MS" w:cs="Comic Sans MS"/>
                <w:b/>
                <w:color w:val="808080"/>
                <w:sz w:val="24"/>
                <w:szCs w:val="24"/>
              </w:rPr>
              <w:t xml:space="preserve"> – </w:t>
            </w:r>
            <w:r>
              <w:rPr>
                <w:rFonts w:ascii="Comic Sans MS" w:eastAsia="Comic Sans MS" w:hAnsi="Comic Sans MS" w:cs="Comic Sans MS"/>
                <w:sz w:val="24"/>
                <w:szCs w:val="24"/>
              </w:rPr>
              <w:t>We make links across the curriculum, planning texts which relate to our termly topic, where possible. From Year 2 onwards, we use whole class readers each term and theme our writing around the text.</w:t>
            </w:r>
          </w:p>
          <w:p w:rsidR="000E1FD4" w:rsidRDefault="000E1FD4">
            <w:pPr>
              <w:jc w:val="center"/>
              <w:rPr>
                <w:rFonts w:ascii="Comic Sans MS" w:eastAsia="Comic Sans MS" w:hAnsi="Comic Sans MS" w:cs="Comic Sans MS"/>
                <w:b/>
                <w:color w:val="808080"/>
                <w:sz w:val="24"/>
                <w:szCs w:val="24"/>
              </w:rPr>
            </w:pPr>
          </w:p>
          <w:p w:rsidR="000E1FD4" w:rsidRDefault="00012F7B">
            <w:pPr>
              <w:jc w:val="center"/>
              <w:rPr>
                <w:rFonts w:ascii="Comic Sans MS" w:eastAsia="Comic Sans MS" w:hAnsi="Comic Sans MS" w:cs="Comic Sans MS"/>
                <w:sz w:val="24"/>
                <w:szCs w:val="24"/>
              </w:rPr>
            </w:pPr>
            <w:r>
              <w:rPr>
                <w:rFonts w:ascii="Comic Sans MS" w:eastAsia="Comic Sans MS" w:hAnsi="Comic Sans MS" w:cs="Comic Sans MS"/>
                <w:b/>
                <w:color w:val="808080"/>
                <w:sz w:val="24"/>
                <w:szCs w:val="24"/>
                <w:highlight w:val="yellow"/>
              </w:rPr>
              <w:t>Vocabulary</w:t>
            </w:r>
            <w:r>
              <w:rPr>
                <w:rFonts w:ascii="Comic Sans MS" w:eastAsia="Comic Sans MS" w:hAnsi="Comic Sans MS" w:cs="Comic Sans MS"/>
                <w:b/>
                <w:color w:val="808080"/>
                <w:sz w:val="24"/>
                <w:szCs w:val="24"/>
              </w:rPr>
              <w:t xml:space="preserve"> – </w:t>
            </w:r>
            <w:r>
              <w:rPr>
                <w:rFonts w:ascii="Comic Sans MS" w:eastAsia="Comic Sans MS" w:hAnsi="Comic Sans MS" w:cs="Comic Sans MS"/>
                <w:sz w:val="24"/>
                <w:szCs w:val="24"/>
              </w:rPr>
              <w:t xml:space="preserve">We build vocabulary using: word of </w:t>
            </w:r>
            <w:r>
              <w:rPr>
                <w:rFonts w:ascii="Comic Sans MS" w:eastAsia="Comic Sans MS" w:hAnsi="Comic Sans MS" w:cs="Comic Sans MS"/>
                <w:sz w:val="24"/>
                <w:szCs w:val="24"/>
              </w:rPr>
              <w:t>the week, repetition, contextual understanding, sentence building, synonym &amp; antonyms and through the use of fun games using a Tier 3 model approach.</w:t>
            </w:r>
          </w:p>
          <w:p w:rsidR="000E1FD4" w:rsidRDefault="000E1FD4">
            <w:pPr>
              <w:jc w:val="center"/>
            </w:pPr>
          </w:p>
        </w:tc>
        <w:tc>
          <w:tcPr>
            <w:tcW w:w="3964" w:type="dxa"/>
            <w:vMerge w:val="restart"/>
          </w:tcPr>
          <w:p w:rsidR="000E1FD4" w:rsidRDefault="00012F7B">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Essentials</w:t>
            </w:r>
          </w:p>
          <w:p w:rsidR="000E1FD4" w:rsidRDefault="00012F7B">
            <w:pPr>
              <w:numPr>
                <w:ilvl w:val="0"/>
                <w:numId w:val="1"/>
              </w:numPr>
              <w:pBdr>
                <w:top w:val="nil"/>
                <w:left w:val="nil"/>
                <w:bottom w:val="nil"/>
                <w:right w:val="nil"/>
                <w:between w:val="nil"/>
              </w:pBdr>
              <w:spacing w:line="259" w:lineRule="auto"/>
              <w:ind w:left="317"/>
              <w:jc w:val="center"/>
              <w:rPr>
                <w:rFonts w:ascii="Comic Sans MS" w:eastAsia="Comic Sans MS" w:hAnsi="Comic Sans MS" w:cs="Comic Sans MS"/>
                <w:color w:val="000000"/>
                <w:sz w:val="18"/>
                <w:szCs w:val="18"/>
              </w:rPr>
            </w:pPr>
            <w:r>
              <w:rPr>
                <w:rFonts w:ascii="Comic Sans MS" w:eastAsia="Comic Sans MS" w:hAnsi="Comic Sans MS" w:cs="Comic Sans MS"/>
                <w:b/>
                <w:color w:val="808080"/>
                <w:sz w:val="18"/>
                <w:szCs w:val="18"/>
                <w:highlight w:val="yellow"/>
              </w:rPr>
              <w:t>Transcription (spelling and handwriting)</w:t>
            </w:r>
            <w:r>
              <w:rPr>
                <w:rFonts w:ascii="Comic Sans MS" w:eastAsia="Comic Sans MS" w:hAnsi="Comic Sans MS" w:cs="Comic Sans MS"/>
                <w:color w:val="808080"/>
                <w:sz w:val="18"/>
                <w:szCs w:val="18"/>
              </w:rPr>
              <w:t xml:space="preserve"> </w:t>
            </w:r>
            <w:r>
              <w:rPr>
                <w:rFonts w:ascii="Comic Sans MS" w:eastAsia="Comic Sans MS" w:hAnsi="Comic Sans MS" w:cs="Comic Sans MS"/>
                <w:color w:val="000000"/>
                <w:sz w:val="18"/>
                <w:szCs w:val="18"/>
              </w:rPr>
              <w:t>–spelling accurately; knowing the relationship between sounds and letters (phonics) and understanding morphology (word structure) and orthography (spelling structure).</w:t>
            </w:r>
          </w:p>
          <w:p w:rsidR="000E1FD4" w:rsidRDefault="00012F7B">
            <w:pPr>
              <w:numPr>
                <w:ilvl w:val="0"/>
                <w:numId w:val="1"/>
              </w:numPr>
              <w:pBdr>
                <w:top w:val="nil"/>
                <w:left w:val="nil"/>
                <w:bottom w:val="nil"/>
                <w:right w:val="nil"/>
                <w:between w:val="nil"/>
              </w:pBdr>
              <w:spacing w:line="259" w:lineRule="auto"/>
              <w:ind w:left="317"/>
              <w:jc w:val="center"/>
              <w:rPr>
                <w:rFonts w:ascii="Comic Sans MS" w:eastAsia="Comic Sans MS" w:hAnsi="Comic Sans MS" w:cs="Comic Sans MS"/>
                <w:color w:val="000000"/>
                <w:sz w:val="18"/>
                <w:szCs w:val="18"/>
              </w:rPr>
            </w:pPr>
            <w:r>
              <w:rPr>
                <w:rFonts w:ascii="Comic Sans MS" w:eastAsia="Comic Sans MS" w:hAnsi="Comic Sans MS" w:cs="Comic Sans MS"/>
                <w:b/>
                <w:color w:val="808080"/>
                <w:sz w:val="18"/>
                <w:szCs w:val="18"/>
                <w:highlight w:val="yellow"/>
              </w:rPr>
              <w:t>Composition (articulating ideas and structuring them in speech and writing)</w:t>
            </w:r>
            <w:r>
              <w:rPr>
                <w:rFonts w:ascii="Comic Sans MS" w:eastAsia="Comic Sans MS" w:hAnsi="Comic Sans MS" w:cs="Comic Sans MS"/>
                <w:color w:val="808080"/>
                <w:sz w:val="18"/>
                <w:szCs w:val="18"/>
              </w:rPr>
              <w:t xml:space="preserve"> </w:t>
            </w:r>
            <w:r>
              <w:rPr>
                <w:rFonts w:ascii="Comic Sans MS" w:eastAsia="Comic Sans MS" w:hAnsi="Comic Sans MS" w:cs="Comic Sans MS"/>
                <w:color w:val="000000"/>
                <w:sz w:val="18"/>
                <w:szCs w:val="18"/>
              </w:rPr>
              <w:t xml:space="preserve">– </w:t>
            </w:r>
          </w:p>
          <w:p w:rsidR="000E1FD4" w:rsidRDefault="00012F7B">
            <w:pPr>
              <w:pBdr>
                <w:top w:val="nil"/>
                <w:left w:val="nil"/>
                <w:bottom w:val="nil"/>
                <w:right w:val="nil"/>
                <w:between w:val="nil"/>
              </w:pBdr>
              <w:spacing w:line="259" w:lineRule="auto"/>
              <w:ind w:left="317"/>
              <w:jc w:val="center"/>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forming, </w:t>
            </w:r>
            <w:r>
              <w:rPr>
                <w:rFonts w:ascii="Comic Sans MS" w:eastAsia="Comic Sans MS" w:hAnsi="Comic Sans MS" w:cs="Comic Sans MS"/>
                <w:color w:val="000000"/>
                <w:sz w:val="18"/>
                <w:szCs w:val="18"/>
              </w:rPr>
              <w:t>articulating and communicating ideas; organising them coherently for a reader. Requires clarity, awareness of audience, purpose and context.</w:t>
            </w:r>
          </w:p>
          <w:p w:rsidR="000E1FD4" w:rsidRDefault="00012F7B">
            <w:pPr>
              <w:numPr>
                <w:ilvl w:val="0"/>
                <w:numId w:val="1"/>
              </w:numPr>
              <w:pBdr>
                <w:top w:val="nil"/>
                <w:left w:val="nil"/>
                <w:bottom w:val="nil"/>
                <w:right w:val="nil"/>
                <w:between w:val="nil"/>
              </w:pBdr>
              <w:spacing w:line="259" w:lineRule="auto"/>
              <w:ind w:left="601"/>
              <w:jc w:val="center"/>
              <w:rPr>
                <w:rFonts w:ascii="Comic Sans MS" w:eastAsia="Comic Sans MS" w:hAnsi="Comic Sans MS" w:cs="Comic Sans MS"/>
                <w:color w:val="000000"/>
                <w:sz w:val="18"/>
                <w:szCs w:val="18"/>
              </w:rPr>
            </w:pPr>
            <w:r>
              <w:rPr>
                <w:rFonts w:ascii="Comic Sans MS" w:eastAsia="Comic Sans MS" w:hAnsi="Comic Sans MS" w:cs="Comic Sans MS"/>
                <w:b/>
                <w:color w:val="808080"/>
                <w:sz w:val="18"/>
                <w:szCs w:val="18"/>
                <w:highlight w:val="yellow"/>
              </w:rPr>
              <w:t>Vocabulary, grammar and punctuation</w:t>
            </w:r>
            <w:r>
              <w:rPr>
                <w:rFonts w:ascii="Comic Sans MS" w:eastAsia="Comic Sans MS" w:hAnsi="Comic Sans MS" w:cs="Comic Sans MS"/>
                <w:color w:val="808080"/>
                <w:sz w:val="18"/>
                <w:szCs w:val="18"/>
              </w:rPr>
              <w:t xml:space="preserve"> </w:t>
            </w:r>
            <w:r>
              <w:rPr>
                <w:rFonts w:ascii="Comic Sans MS" w:eastAsia="Comic Sans MS" w:hAnsi="Comic Sans MS" w:cs="Comic Sans MS"/>
                <w:color w:val="000000"/>
                <w:sz w:val="18"/>
                <w:szCs w:val="18"/>
              </w:rPr>
              <w:t xml:space="preserve">– </w:t>
            </w:r>
          </w:p>
          <w:p w:rsidR="000E1FD4" w:rsidRDefault="00012F7B">
            <w:pPr>
              <w:numPr>
                <w:ilvl w:val="0"/>
                <w:numId w:val="1"/>
              </w:numPr>
              <w:pBdr>
                <w:top w:val="nil"/>
                <w:left w:val="nil"/>
                <w:bottom w:val="nil"/>
                <w:right w:val="nil"/>
                <w:between w:val="nil"/>
              </w:pBdr>
              <w:spacing w:after="160" w:line="259" w:lineRule="auto"/>
              <w:ind w:left="317" w:hanging="686"/>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18"/>
                <w:szCs w:val="18"/>
              </w:rPr>
              <w:t>increasingly wider range of vocabulary and grammar; understanding nuances/relationships between words, enabling more conscious control and choice over language</w:t>
            </w:r>
          </w:p>
        </w:tc>
      </w:tr>
      <w:tr w:rsidR="000E1FD4">
        <w:trPr>
          <w:trHeight w:val="269"/>
        </w:trPr>
        <w:tc>
          <w:tcPr>
            <w:tcW w:w="4815" w:type="dxa"/>
            <w:vMerge w:val="restart"/>
          </w:tcPr>
          <w:p w:rsidR="000E1FD4" w:rsidRDefault="000E1FD4"/>
          <w:p w:rsidR="000E1FD4" w:rsidRDefault="00012F7B">
            <w:bookmarkStart w:id="1" w:name="_heading=h.gjdgxs" w:colFirst="0" w:colLast="0"/>
            <w:bookmarkEnd w:id="1"/>
            <w:r>
              <w:rPr>
                <w:noProof/>
              </w:rPr>
              <w:drawing>
                <wp:anchor distT="0" distB="0" distL="114300" distR="114300" simplePos="0" relativeHeight="251659264" behindDoc="0" locked="0" layoutInCell="1" hidden="0" allowOverlap="1">
                  <wp:simplePos x="0" y="0"/>
                  <wp:positionH relativeFrom="column">
                    <wp:posOffset>13503</wp:posOffset>
                  </wp:positionH>
                  <wp:positionV relativeFrom="paragraph">
                    <wp:posOffset>96989</wp:posOffset>
                  </wp:positionV>
                  <wp:extent cx="2897612" cy="199863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l="20827" t="20036" r="30139" b="14077"/>
                          <a:stretch>
                            <a:fillRect/>
                          </a:stretch>
                        </pic:blipFill>
                        <pic:spPr>
                          <a:xfrm>
                            <a:off x="0" y="0"/>
                            <a:ext cx="2897612" cy="1998630"/>
                          </a:xfrm>
                          <a:prstGeom prst="rect">
                            <a:avLst/>
                          </a:prstGeom>
                          <a:ln/>
                        </pic:spPr>
                      </pic:pic>
                    </a:graphicData>
                  </a:graphic>
                </wp:anchor>
              </w:drawing>
            </w:r>
          </w:p>
          <w:p w:rsidR="000E1FD4" w:rsidRDefault="000E1FD4"/>
          <w:p w:rsidR="000E1FD4" w:rsidRDefault="000E1FD4"/>
          <w:p w:rsidR="000E1FD4" w:rsidRDefault="000E1FD4"/>
          <w:p w:rsidR="000E1FD4" w:rsidRDefault="000E1FD4"/>
          <w:p w:rsidR="000E1FD4" w:rsidRDefault="000E1FD4"/>
          <w:p w:rsidR="000E1FD4" w:rsidRDefault="000E1FD4"/>
          <w:p w:rsidR="000E1FD4" w:rsidRDefault="000E1FD4"/>
          <w:p w:rsidR="000E1FD4" w:rsidRDefault="000E1FD4"/>
        </w:tc>
        <w:tc>
          <w:tcPr>
            <w:tcW w:w="6662" w:type="dxa"/>
            <w:vMerge/>
          </w:tcPr>
          <w:p w:rsidR="000E1FD4" w:rsidRDefault="000E1FD4">
            <w:pPr>
              <w:widowControl w:val="0"/>
              <w:pBdr>
                <w:top w:val="nil"/>
                <w:left w:val="nil"/>
                <w:bottom w:val="nil"/>
                <w:right w:val="nil"/>
                <w:between w:val="nil"/>
              </w:pBdr>
              <w:spacing w:line="276" w:lineRule="auto"/>
            </w:pPr>
          </w:p>
        </w:tc>
        <w:tc>
          <w:tcPr>
            <w:tcW w:w="3964" w:type="dxa"/>
            <w:vMerge/>
          </w:tcPr>
          <w:p w:rsidR="000E1FD4" w:rsidRDefault="000E1FD4">
            <w:pPr>
              <w:widowControl w:val="0"/>
              <w:pBdr>
                <w:top w:val="nil"/>
                <w:left w:val="nil"/>
                <w:bottom w:val="nil"/>
                <w:right w:val="nil"/>
                <w:between w:val="nil"/>
              </w:pBdr>
              <w:spacing w:line="276" w:lineRule="auto"/>
            </w:pPr>
          </w:p>
        </w:tc>
      </w:tr>
      <w:tr w:rsidR="000E1FD4">
        <w:tc>
          <w:tcPr>
            <w:tcW w:w="4815" w:type="dxa"/>
            <w:vMerge/>
          </w:tcPr>
          <w:p w:rsidR="000E1FD4" w:rsidRDefault="000E1FD4">
            <w:pPr>
              <w:widowControl w:val="0"/>
              <w:pBdr>
                <w:top w:val="nil"/>
                <w:left w:val="nil"/>
                <w:bottom w:val="nil"/>
                <w:right w:val="nil"/>
                <w:between w:val="nil"/>
              </w:pBdr>
              <w:spacing w:line="276" w:lineRule="auto"/>
            </w:pPr>
          </w:p>
        </w:tc>
        <w:tc>
          <w:tcPr>
            <w:tcW w:w="6662" w:type="dxa"/>
            <w:vMerge/>
          </w:tcPr>
          <w:p w:rsidR="000E1FD4" w:rsidRDefault="000E1FD4">
            <w:pPr>
              <w:widowControl w:val="0"/>
              <w:pBdr>
                <w:top w:val="nil"/>
                <w:left w:val="nil"/>
                <w:bottom w:val="nil"/>
                <w:right w:val="nil"/>
                <w:between w:val="nil"/>
              </w:pBdr>
              <w:spacing w:line="276" w:lineRule="auto"/>
            </w:pPr>
          </w:p>
        </w:tc>
        <w:tc>
          <w:tcPr>
            <w:tcW w:w="3964" w:type="dxa"/>
          </w:tcPr>
          <w:p w:rsidR="000E1FD4" w:rsidRDefault="00012F7B">
            <w:pPr>
              <w:jc w:val="center"/>
              <w:rPr>
                <w:rFonts w:ascii="Comic Sans MS" w:eastAsia="Comic Sans MS" w:hAnsi="Comic Sans MS" w:cs="Comic Sans MS"/>
                <w:b/>
                <w:sz w:val="32"/>
                <w:szCs w:val="32"/>
              </w:rPr>
            </w:pPr>
            <w:r>
              <w:rPr>
                <w:rFonts w:ascii="Comic Sans MS" w:eastAsia="Comic Sans MS" w:hAnsi="Comic Sans MS" w:cs="Comic Sans MS"/>
                <w:b/>
                <w:sz w:val="32"/>
                <w:szCs w:val="32"/>
              </w:rPr>
              <w:t>Progress</w:t>
            </w:r>
          </w:p>
          <w:p w:rsidR="000E1FD4" w:rsidRDefault="00012F7B">
            <w:pPr>
              <w:pBdr>
                <w:top w:val="nil"/>
                <w:left w:val="nil"/>
                <w:bottom w:val="nil"/>
                <w:right w:val="nil"/>
                <w:between w:val="nil"/>
              </w:pBdr>
              <w:spacing w:after="160"/>
              <w:rPr>
                <w:rFonts w:ascii="Times New Roman" w:eastAsia="Times New Roman" w:hAnsi="Times New Roman" w:cs="Times New Roman"/>
                <w:color w:val="000000"/>
                <w:sz w:val="17"/>
                <w:szCs w:val="17"/>
              </w:rPr>
            </w:pPr>
            <w:r>
              <w:rPr>
                <w:rFonts w:ascii="Comic Sans MS" w:eastAsia="Comic Sans MS" w:hAnsi="Comic Sans MS" w:cs="Comic Sans MS"/>
                <w:color w:val="000000"/>
                <w:sz w:val="17"/>
                <w:szCs w:val="17"/>
              </w:rPr>
              <w:t>Units of work are carefully sequenced so prior knowledge and concepts are built upon.</w:t>
            </w:r>
          </w:p>
          <w:p w:rsidR="000E1FD4" w:rsidRDefault="00012F7B">
            <w:pPr>
              <w:pBdr>
                <w:top w:val="nil"/>
                <w:left w:val="nil"/>
                <w:bottom w:val="nil"/>
                <w:right w:val="nil"/>
                <w:between w:val="nil"/>
              </w:pBdr>
              <w:spacing w:after="160"/>
              <w:rPr>
                <w:rFonts w:ascii="Times New Roman" w:eastAsia="Times New Roman" w:hAnsi="Times New Roman" w:cs="Times New Roman"/>
                <w:color w:val="000000"/>
                <w:sz w:val="17"/>
                <w:szCs w:val="17"/>
              </w:rPr>
            </w:pPr>
            <w:r>
              <w:rPr>
                <w:rFonts w:ascii="Comic Sans MS" w:eastAsia="Comic Sans MS" w:hAnsi="Comic Sans MS" w:cs="Comic Sans MS"/>
                <w:color w:val="000000"/>
                <w:sz w:val="17"/>
                <w:szCs w:val="17"/>
              </w:rPr>
              <w:t>Regular formative assessment and immediate feedback ensures gaps are filled.</w:t>
            </w:r>
          </w:p>
          <w:p w:rsidR="000E1FD4" w:rsidRDefault="00012F7B">
            <w:pPr>
              <w:pBdr>
                <w:top w:val="nil"/>
                <w:left w:val="nil"/>
                <w:bottom w:val="nil"/>
                <w:right w:val="nil"/>
                <w:between w:val="nil"/>
              </w:pBdr>
              <w:spacing w:after="160"/>
              <w:rPr>
                <w:rFonts w:ascii="Times New Roman" w:eastAsia="Times New Roman" w:hAnsi="Times New Roman" w:cs="Times New Roman"/>
                <w:color w:val="000000"/>
                <w:sz w:val="17"/>
                <w:szCs w:val="17"/>
              </w:rPr>
            </w:pPr>
            <w:r>
              <w:rPr>
                <w:rFonts w:ascii="Comic Sans MS" w:eastAsia="Comic Sans MS" w:hAnsi="Comic Sans MS" w:cs="Comic Sans MS"/>
                <w:color w:val="000000"/>
                <w:sz w:val="17"/>
                <w:szCs w:val="17"/>
              </w:rPr>
              <w:t>Effective questioning and higher order thinking are embedded within all learning experiences.</w:t>
            </w:r>
            <w:r>
              <w:rPr>
                <w:rFonts w:ascii="Comic Sans MS" w:eastAsia="Comic Sans MS" w:hAnsi="Comic Sans MS" w:cs="Comic Sans MS"/>
                <w:color w:val="000000"/>
                <w:sz w:val="17"/>
                <w:szCs w:val="17"/>
              </w:rPr>
              <w:t> </w:t>
            </w:r>
          </w:p>
          <w:p w:rsidR="000E1FD4" w:rsidRDefault="00012F7B">
            <w:pPr>
              <w:pBdr>
                <w:top w:val="nil"/>
                <w:left w:val="nil"/>
                <w:bottom w:val="nil"/>
                <w:right w:val="nil"/>
                <w:between w:val="nil"/>
              </w:pBdr>
              <w:spacing w:after="160"/>
              <w:rPr>
                <w:rFonts w:ascii="Times New Roman" w:eastAsia="Times New Roman" w:hAnsi="Times New Roman" w:cs="Times New Roman"/>
                <w:color w:val="000000"/>
                <w:sz w:val="17"/>
                <w:szCs w:val="17"/>
              </w:rPr>
            </w:pPr>
            <w:r>
              <w:rPr>
                <w:rFonts w:ascii="Comic Sans MS" w:eastAsia="Comic Sans MS" w:hAnsi="Comic Sans MS" w:cs="Comic Sans MS"/>
                <w:color w:val="000000"/>
                <w:sz w:val="17"/>
                <w:szCs w:val="17"/>
              </w:rPr>
              <w:t>Progress and attainment within units is recorded and shared with all teaching staff.</w:t>
            </w:r>
          </w:p>
          <w:p w:rsidR="000E1FD4" w:rsidRDefault="00012F7B">
            <w:r>
              <w:rPr>
                <w:rFonts w:ascii="Comic Sans MS" w:eastAsia="Comic Sans MS" w:hAnsi="Comic Sans MS" w:cs="Comic Sans MS"/>
                <w:color w:val="000000"/>
                <w:sz w:val="17"/>
                <w:szCs w:val="17"/>
              </w:rPr>
              <w:t>Opportunities for revisiting content or apply learning in greater depth. Key ideas, concepts and facts recorded in knowledge organisers.</w:t>
            </w:r>
          </w:p>
        </w:tc>
      </w:tr>
    </w:tbl>
    <w:p w:rsidR="000E1FD4" w:rsidRDefault="000E1FD4"/>
    <w:p w:rsidR="000E1FD4" w:rsidRDefault="000E1FD4"/>
    <w:sectPr w:rsidR="000E1FD4">
      <w:pgSz w:w="16838" w:h="11906" w:orient="landscape"/>
      <w:pgMar w:top="709" w:right="536" w:bottom="426" w:left="85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827EE"/>
    <w:multiLevelType w:val="multilevel"/>
    <w:tmpl w:val="131EC5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D4"/>
    <w:rsid w:val="000E1FD4"/>
    <w:rsid w:val="00AA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435122-88BB-41BD-B331-09DFE89A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67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E3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678"/>
    <w:rPr>
      <w:color w:val="0563C1" w:themeColor="hyperlink"/>
      <w:u w:val="single"/>
    </w:rPr>
  </w:style>
  <w:style w:type="paragraph" w:styleId="ListParagraph">
    <w:name w:val="List Paragraph"/>
    <w:basedOn w:val="Normal"/>
    <w:uiPriority w:val="34"/>
    <w:qFormat/>
    <w:rsid w:val="004E3678"/>
    <w:pPr>
      <w:ind w:left="720"/>
      <w:contextualSpacing/>
    </w:pPr>
  </w:style>
  <w:style w:type="paragraph" w:styleId="NormalWeb">
    <w:name w:val="Normal (Web)"/>
    <w:basedOn w:val="Normal"/>
    <w:uiPriority w:val="99"/>
    <w:semiHidden/>
    <w:unhideWhenUsed/>
    <w:rsid w:val="00162F3F"/>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39784/English_Appendix_1_-_Spelling.pdf"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wOIgx612oORz1dW7FQVOeLODRg==">AMUW2mUP37nCqObskk69sy8/YLx6R4K1wIjtJjodvZIGSbpjg48bxwnCATurfUhez9cMVvnfd4p6SCVD5KekkH5SHHVxCmOSm3RQqZxUPgq8ZjwfH4Xa+mAeg7d8HCrrJzYv03cBOe+p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Clarkson</dc:creator>
  <cp:lastModifiedBy>Kathryn Clarkson</cp:lastModifiedBy>
  <cp:revision>2</cp:revision>
  <dcterms:created xsi:type="dcterms:W3CDTF">2022-10-13T12:52:00Z</dcterms:created>
  <dcterms:modified xsi:type="dcterms:W3CDTF">2022-10-13T12:52:00Z</dcterms:modified>
</cp:coreProperties>
</file>